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B1FF0" w14:textId="44C072AA" w:rsidR="00CA741F" w:rsidRPr="00FC737B" w:rsidRDefault="000C0DDE" w:rsidP="000C0DDE">
      <w:pPr>
        <w:jc w:val="center"/>
        <w:rPr>
          <w:b/>
          <w:bCs/>
          <w:sz w:val="28"/>
          <w:szCs w:val="28"/>
          <w:u w:val="single"/>
        </w:rPr>
      </w:pPr>
      <w:r w:rsidRPr="00FC737B">
        <w:rPr>
          <w:b/>
          <w:bCs/>
          <w:sz w:val="28"/>
          <w:szCs w:val="28"/>
          <w:u w:val="single"/>
        </w:rPr>
        <w:t>Notice of Changes to Board Regulations for Continuing Education</w:t>
      </w:r>
      <w:r w:rsidR="009D695D" w:rsidRPr="00FC737B">
        <w:rPr>
          <w:b/>
          <w:bCs/>
          <w:sz w:val="28"/>
          <w:szCs w:val="28"/>
          <w:u w:val="single"/>
        </w:rPr>
        <w:t xml:space="preserve"> (CE)</w:t>
      </w:r>
    </w:p>
    <w:p w14:paraId="222CF6E5" w14:textId="320871BB" w:rsidR="000C0DDE" w:rsidRPr="00FC737B" w:rsidRDefault="000C0DDE" w:rsidP="000C0DDE">
      <w:pPr>
        <w:jc w:val="center"/>
        <w:rPr>
          <w:sz w:val="24"/>
          <w:szCs w:val="24"/>
        </w:rPr>
      </w:pPr>
    </w:p>
    <w:p w14:paraId="08FFD1CD" w14:textId="459A32D1" w:rsidR="000C0DDE" w:rsidRPr="00FC737B" w:rsidRDefault="000C0DDE" w:rsidP="000C0DDE">
      <w:pPr>
        <w:rPr>
          <w:sz w:val="24"/>
          <w:szCs w:val="24"/>
        </w:rPr>
      </w:pPr>
      <w:r w:rsidRPr="00FC737B">
        <w:rPr>
          <w:sz w:val="24"/>
          <w:szCs w:val="24"/>
        </w:rPr>
        <w:t xml:space="preserve">Amendments to the Board’s Regulations Governing the Practice of Nursing Home Administrators (Ch. 20) and Assisted Living Facility Administrators (Ch. 30) </w:t>
      </w:r>
      <w:r w:rsidR="00DB108B">
        <w:rPr>
          <w:sz w:val="24"/>
          <w:szCs w:val="24"/>
        </w:rPr>
        <w:t xml:space="preserve">are </w:t>
      </w:r>
      <w:r w:rsidR="000E24A8">
        <w:rPr>
          <w:sz w:val="24"/>
          <w:szCs w:val="24"/>
        </w:rPr>
        <w:t>set</w:t>
      </w:r>
      <w:r w:rsidR="00DB108B">
        <w:rPr>
          <w:sz w:val="24"/>
          <w:szCs w:val="24"/>
        </w:rPr>
        <w:t xml:space="preserve"> to become </w:t>
      </w:r>
      <w:r w:rsidRPr="00FC737B">
        <w:rPr>
          <w:b/>
          <w:bCs/>
          <w:sz w:val="24"/>
          <w:szCs w:val="24"/>
        </w:rPr>
        <w:t xml:space="preserve">effective </w:t>
      </w:r>
      <w:r w:rsidR="00DB108B">
        <w:rPr>
          <w:b/>
          <w:bCs/>
          <w:sz w:val="24"/>
          <w:szCs w:val="24"/>
        </w:rPr>
        <w:t>on</w:t>
      </w:r>
      <w:r w:rsidRPr="00FC737B">
        <w:rPr>
          <w:sz w:val="24"/>
          <w:szCs w:val="24"/>
        </w:rPr>
        <w:t xml:space="preserve"> </w:t>
      </w:r>
      <w:r w:rsidRPr="00FC737B">
        <w:rPr>
          <w:b/>
          <w:bCs/>
          <w:sz w:val="24"/>
          <w:szCs w:val="24"/>
        </w:rPr>
        <w:t>December 21, 2022</w:t>
      </w:r>
      <w:r w:rsidRPr="00FC737B">
        <w:rPr>
          <w:sz w:val="24"/>
          <w:szCs w:val="24"/>
        </w:rPr>
        <w:t>.</w:t>
      </w:r>
    </w:p>
    <w:p w14:paraId="01AD5750" w14:textId="71FB43D1" w:rsidR="000C0DDE" w:rsidRPr="00FC737B" w:rsidRDefault="000C0DDE" w:rsidP="000C0DDE">
      <w:pPr>
        <w:rPr>
          <w:sz w:val="24"/>
          <w:szCs w:val="24"/>
        </w:rPr>
      </w:pPr>
    </w:p>
    <w:p w14:paraId="4B5DE892" w14:textId="609ADB3A" w:rsidR="000C0DDE" w:rsidRPr="00FC737B" w:rsidRDefault="000C0DDE" w:rsidP="000C0DDE">
      <w:pPr>
        <w:rPr>
          <w:b/>
          <w:bCs/>
          <w:sz w:val="26"/>
          <w:szCs w:val="26"/>
        </w:rPr>
      </w:pPr>
      <w:r w:rsidRPr="00FC737B">
        <w:rPr>
          <w:b/>
          <w:bCs/>
          <w:sz w:val="26"/>
          <w:szCs w:val="26"/>
        </w:rPr>
        <w:t>What does this mean for licensed administrators?</w:t>
      </w:r>
    </w:p>
    <w:p w14:paraId="385BEAA1" w14:textId="3944EA32" w:rsidR="000C0DDE" w:rsidRPr="00FC737B" w:rsidRDefault="000C0DDE" w:rsidP="000C0DDE">
      <w:pPr>
        <w:rPr>
          <w:sz w:val="24"/>
          <w:szCs w:val="24"/>
        </w:rPr>
      </w:pPr>
    </w:p>
    <w:p w14:paraId="2E907A53" w14:textId="44658686" w:rsidR="000C0DDE" w:rsidRPr="00FC737B" w:rsidRDefault="000C0DDE" w:rsidP="000C0DDE">
      <w:pPr>
        <w:rPr>
          <w:sz w:val="24"/>
          <w:szCs w:val="24"/>
        </w:rPr>
      </w:pPr>
      <w:r w:rsidRPr="00FC737B">
        <w:rPr>
          <w:sz w:val="24"/>
          <w:szCs w:val="24"/>
        </w:rPr>
        <w:t xml:space="preserve">The regulatory updates contain two new </w:t>
      </w:r>
      <w:r w:rsidR="009D695D" w:rsidRPr="00FC737B">
        <w:rPr>
          <w:sz w:val="24"/>
          <w:szCs w:val="24"/>
        </w:rPr>
        <w:t xml:space="preserve">CE </w:t>
      </w:r>
      <w:r w:rsidRPr="00FC737B">
        <w:rPr>
          <w:sz w:val="24"/>
          <w:szCs w:val="24"/>
        </w:rPr>
        <w:t xml:space="preserve">provisions that will impact both NHA and ALFA licensees and active preceptors; once effective, these regulatory requirements </w:t>
      </w:r>
      <w:r w:rsidRPr="00FC737B">
        <w:rPr>
          <w:b/>
          <w:bCs/>
          <w:sz w:val="24"/>
          <w:szCs w:val="24"/>
        </w:rPr>
        <w:t>will apply</w:t>
      </w:r>
      <w:r w:rsidRPr="00FC737B">
        <w:rPr>
          <w:sz w:val="24"/>
          <w:szCs w:val="24"/>
        </w:rPr>
        <w:t xml:space="preserve"> to the CE requirements for the 2023 renewal cycle. </w:t>
      </w:r>
    </w:p>
    <w:p w14:paraId="77B1A01C" w14:textId="77777777" w:rsidR="000C0DDE" w:rsidRPr="00FC737B" w:rsidRDefault="000C0DDE" w:rsidP="000C0DDE">
      <w:pPr>
        <w:rPr>
          <w:sz w:val="24"/>
          <w:szCs w:val="24"/>
        </w:rPr>
      </w:pPr>
    </w:p>
    <w:p w14:paraId="745849D4" w14:textId="77777777" w:rsidR="000C0DDE" w:rsidRPr="00FC737B" w:rsidRDefault="000C0DDE" w:rsidP="000C0DDE">
      <w:pPr>
        <w:pStyle w:val="ListParagraph"/>
        <w:numPr>
          <w:ilvl w:val="0"/>
          <w:numId w:val="1"/>
        </w:numPr>
        <w:rPr>
          <w:sz w:val="24"/>
          <w:szCs w:val="24"/>
        </w:rPr>
      </w:pPr>
      <w:r w:rsidRPr="00FC737B">
        <w:rPr>
          <w:sz w:val="24"/>
          <w:szCs w:val="24"/>
        </w:rPr>
        <w:t>At least two (2) hours of continuing education for each renewal year shall relate to the care of residents with mental or cognitive impairments, including Alzheimer's disease and dementia.</w:t>
      </w:r>
    </w:p>
    <w:p w14:paraId="7A154D5D" w14:textId="77777777" w:rsidR="000C0DDE" w:rsidRPr="00FC737B" w:rsidRDefault="000C0DDE" w:rsidP="000C0DDE">
      <w:pPr>
        <w:pStyle w:val="ListParagraph"/>
        <w:rPr>
          <w:sz w:val="24"/>
          <w:szCs w:val="24"/>
        </w:rPr>
      </w:pPr>
    </w:p>
    <w:p w14:paraId="1E45D2A9" w14:textId="77777777" w:rsidR="000C0DDE" w:rsidRPr="00FC737B" w:rsidRDefault="000C0DDE" w:rsidP="000C0DDE">
      <w:pPr>
        <w:pStyle w:val="ListParagraph"/>
        <w:numPr>
          <w:ilvl w:val="0"/>
          <w:numId w:val="1"/>
        </w:numPr>
        <w:rPr>
          <w:sz w:val="24"/>
          <w:szCs w:val="24"/>
        </w:rPr>
      </w:pPr>
      <w:r w:rsidRPr="00FC737B">
        <w:rPr>
          <w:sz w:val="24"/>
          <w:szCs w:val="24"/>
        </w:rPr>
        <w:t>A licensee who serves as the registered preceptor in an approved NHA AIT or ALF AIT program may receive one hour of continuing education credit for each week of training up to a maximum of 10 hours of self-study course credit for each renewal year.</w:t>
      </w:r>
    </w:p>
    <w:p w14:paraId="77AF6A31" w14:textId="77777777" w:rsidR="000C0DDE" w:rsidRPr="00FC737B" w:rsidRDefault="000C0DDE" w:rsidP="000C0DDE">
      <w:pPr>
        <w:rPr>
          <w:sz w:val="24"/>
          <w:szCs w:val="24"/>
        </w:rPr>
      </w:pPr>
    </w:p>
    <w:p w14:paraId="1F89E0F9" w14:textId="3497E7E2" w:rsidR="000C0DDE" w:rsidRPr="00FC737B" w:rsidRDefault="000C0DDE" w:rsidP="000C0DDE">
      <w:pPr>
        <w:rPr>
          <w:sz w:val="24"/>
          <w:szCs w:val="24"/>
        </w:rPr>
      </w:pPr>
      <w:r w:rsidRPr="00DB108B">
        <w:rPr>
          <w:sz w:val="24"/>
          <w:szCs w:val="24"/>
        </w:rPr>
        <w:t xml:space="preserve">To view the full regulation language related to CE requirements, please visit </w:t>
      </w:r>
      <w:hyperlink r:id="rId5" w:history="1">
        <w:r w:rsidRPr="00DB108B">
          <w:rPr>
            <w:rStyle w:val="Hyperlink"/>
            <w:sz w:val="24"/>
            <w:szCs w:val="24"/>
          </w:rPr>
          <w:t>18VAC95-20-175</w:t>
        </w:r>
      </w:hyperlink>
      <w:r w:rsidRPr="00DB108B">
        <w:rPr>
          <w:sz w:val="24"/>
          <w:szCs w:val="24"/>
        </w:rPr>
        <w:t xml:space="preserve"> (NHA) and </w:t>
      </w:r>
      <w:hyperlink r:id="rId6" w:history="1">
        <w:r w:rsidRPr="00DB108B">
          <w:rPr>
            <w:rStyle w:val="Hyperlink"/>
            <w:sz w:val="24"/>
            <w:szCs w:val="24"/>
          </w:rPr>
          <w:t>18VAC95-30-70</w:t>
        </w:r>
      </w:hyperlink>
      <w:r w:rsidRPr="00DB108B">
        <w:rPr>
          <w:sz w:val="24"/>
          <w:szCs w:val="24"/>
        </w:rPr>
        <w:t xml:space="preserve"> (ALFA).</w:t>
      </w:r>
      <w:r w:rsidRPr="00FC737B">
        <w:rPr>
          <w:sz w:val="24"/>
          <w:szCs w:val="24"/>
        </w:rPr>
        <w:t xml:space="preserve">  </w:t>
      </w:r>
    </w:p>
    <w:p w14:paraId="703B8A0E" w14:textId="77777777" w:rsidR="00FC737B" w:rsidRPr="00FC737B" w:rsidRDefault="00FC737B" w:rsidP="000C0DDE">
      <w:pPr>
        <w:rPr>
          <w:sz w:val="24"/>
          <w:szCs w:val="24"/>
        </w:rPr>
      </w:pPr>
    </w:p>
    <w:p w14:paraId="7F6A1B19" w14:textId="10782A67" w:rsidR="00FC737B" w:rsidRPr="00FC737B" w:rsidRDefault="00FC737B" w:rsidP="00FC737B">
      <w:pPr>
        <w:rPr>
          <w:sz w:val="24"/>
          <w:szCs w:val="24"/>
        </w:rPr>
      </w:pPr>
      <w:r w:rsidRPr="00FC737B">
        <w:rPr>
          <w:sz w:val="24"/>
          <w:szCs w:val="24"/>
        </w:rPr>
        <w:t xml:space="preserve">To see the interlined changes to the text of the Board’s previous regulations, please </w:t>
      </w:r>
      <w:hyperlink r:id="rId7" w:history="1">
        <w:r w:rsidRPr="00DB108B">
          <w:rPr>
            <w:rStyle w:val="Hyperlink"/>
            <w:sz w:val="24"/>
            <w:szCs w:val="24"/>
          </w:rPr>
          <w:t>click here</w:t>
        </w:r>
      </w:hyperlink>
      <w:r w:rsidRPr="00FC737B">
        <w:rPr>
          <w:sz w:val="24"/>
          <w:szCs w:val="24"/>
        </w:rPr>
        <w:t xml:space="preserve">. </w:t>
      </w:r>
    </w:p>
    <w:p w14:paraId="07887E03" w14:textId="1B44B44F" w:rsidR="000C0DDE" w:rsidRPr="00FC737B" w:rsidRDefault="000C0DDE" w:rsidP="000C0DDE">
      <w:pPr>
        <w:rPr>
          <w:sz w:val="24"/>
          <w:szCs w:val="24"/>
        </w:rPr>
      </w:pPr>
    </w:p>
    <w:p w14:paraId="315F4EE5" w14:textId="44F04EB7" w:rsidR="000C0DDE" w:rsidRPr="00FC737B" w:rsidRDefault="000C0DDE" w:rsidP="000C0DDE">
      <w:pPr>
        <w:rPr>
          <w:b/>
          <w:bCs/>
          <w:sz w:val="26"/>
          <w:szCs w:val="26"/>
        </w:rPr>
      </w:pPr>
      <w:r w:rsidRPr="00FC737B">
        <w:rPr>
          <w:b/>
          <w:bCs/>
          <w:sz w:val="26"/>
          <w:szCs w:val="26"/>
        </w:rPr>
        <w:t>When do the regulatory changes become effective?</w:t>
      </w:r>
    </w:p>
    <w:p w14:paraId="30627CC3" w14:textId="77777777" w:rsidR="000C0DDE" w:rsidRPr="00FC737B" w:rsidRDefault="000C0DDE" w:rsidP="000C0DDE">
      <w:pPr>
        <w:rPr>
          <w:sz w:val="24"/>
          <w:szCs w:val="24"/>
        </w:rPr>
      </w:pPr>
    </w:p>
    <w:p w14:paraId="4D5908F3" w14:textId="48016C3E" w:rsidR="000C0DDE" w:rsidRPr="00FC737B" w:rsidRDefault="000C0DDE" w:rsidP="000C0DDE">
      <w:pPr>
        <w:rPr>
          <w:sz w:val="24"/>
          <w:szCs w:val="24"/>
        </w:rPr>
      </w:pPr>
      <w:r w:rsidRPr="00FC737B">
        <w:rPr>
          <w:sz w:val="24"/>
          <w:szCs w:val="24"/>
        </w:rPr>
        <w:t xml:space="preserve">The amendments to the regulations </w:t>
      </w:r>
      <w:r w:rsidR="009D695D" w:rsidRPr="00FC737B">
        <w:rPr>
          <w:sz w:val="24"/>
          <w:szCs w:val="24"/>
        </w:rPr>
        <w:t xml:space="preserve">are set to </w:t>
      </w:r>
      <w:r w:rsidRPr="00FC737B">
        <w:rPr>
          <w:sz w:val="24"/>
          <w:szCs w:val="24"/>
        </w:rPr>
        <w:t xml:space="preserve">become effective on December 21, 2022. </w:t>
      </w:r>
    </w:p>
    <w:p w14:paraId="6BB93063" w14:textId="77777777" w:rsidR="000C0DDE" w:rsidRPr="00FC737B" w:rsidRDefault="000C0DDE" w:rsidP="000C0DDE">
      <w:pPr>
        <w:rPr>
          <w:sz w:val="24"/>
          <w:szCs w:val="24"/>
        </w:rPr>
      </w:pPr>
    </w:p>
    <w:p w14:paraId="3A822533" w14:textId="77777777" w:rsidR="000C0DDE" w:rsidRPr="00FC737B" w:rsidRDefault="000C0DDE" w:rsidP="000C0DDE">
      <w:pPr>
        <w:rPr>
          <w:b/>
          <w:bCs/>
          <w:sz w:val="26"/>
          <w:szCs w:val="26"/>
        </w:rPr>
      </w:pPr>
      <w:r w:rsidRPr="00FC737B">
        <w:rPr>
          <w:b/>
          <w:bCs/>
          <w:sz w:val="26"/>
          <w:szCs w:val="26"/>
        </w:rPr>
        <w:t>Will the amendments related to continuing education (CE) apply for the 2023 renewal cycle?</w:t>
      </w:r>
    </w:p>
    <w:p w14:paraId="2DD9EA46" w14:textId="77777777" w:rsidR="000C0DDE" w:rsidRPr="00FC737B" w:rsidRDefault="000C0DDE" w:rsidP="000C0DDE">
      <w:pPr>
        <w:rPr>
          <w:sz w:val="24"/>
          <w:szCs w:val="24"/>
        </w:rPr>
      </w:pPr>
    </w:p>
    <w:p w14:paraId="1BFD439E" w14:textId="33D0E67E" w:rsidR="000C0DDE" w:rsidRPr="00FC737B" w:rsidRDefault="009D695D" w:rsidP="000C0DDE">
      <w:pPr>
        <w:rPr>
          <w:sz w:val="24"/>
          <w:szCs w:val="24"/>
        </w:rPr>
      </w:pPr>
      <w:r w:rsidRPr="00FC737B">
        <w:rPr>
          <w:sz w:val="24"/>
          <w:szCs w:val="24"/>
        </w:rPr>
        <w:t xml:space="preserve">Yes, because </w:t>
      </w:r>
      <w:r w:rsidR="000C0DDE" w:rsidRPr="00FC737B">
        <w:rPr>
          <w:sz w:val="24"/>
          <w:szCs w:val="24"/>
        </w:rPr>
        <w:t xml:space="preserve">the amendments to the regulations </w:t>
      </w:r>
      <w:r w:rsidR="00DB108B">
        <w:rPr>
          <w:sz w:val="24"/>
          <w:szCs w:val="24"/>
        </w:rPr>
        <w:t xml:space="preserve">become </w:t>
      </w:r>
      <w:r w:rsidR="000C0DDE" w:rsidRPr="00FC737B">
        <w:rPr>
          <w:sz w:val="24"/>
          <w:szCs w:val="24"/>
        </w:rPr>
        <w:t>effective on December 21, 2022, these amend</w:t>
      </w:r>
      <w:r w:rsidRPr="00FC737B">
        <w:rPr>
          <w:sz w:val="24"/>
          <w:szCs w:val="24"/>
        </w:rPr>
        <w:t>ed requirements</w:t>
      </w:r>
      <w:r w:rsidR="000C0DDE" w:rsidRPr="00FC737B">
        <w:rPr>
          <w:sz w:val="24"/>
          <w:szCs w:val="24"/>
        </w:rPr>
        <w:t xml:space="preserve"> will apply for the 2023 renewal cycle that ends on March 31, 2023. </w:t>
      </w:r>
    </w:p>
    <w:p w14:paraId="3CFD7CA2" w14:textId="63A32C50" w:rsidR="000C0DDE" w:rsidRPr="00FC737B" w:rsidRDefault="000C0DDE" w:rsidP="000C0DDE">
      <w:pPr>
        <w:rPr>
          <w:sz w:val="24"/>
          <w:szCs w:val="24"/>
        </w:rPr>
      </w:pPr>
    </w:p>
    <w:p w14:paraId="05E7F4A0" w14:textId="0AC9DADE" w:rsidR="000C0DDE" w:rsidRPr="00FC737B" w:rsidRDefault="000C0DDE" w:rsidP="000C0DDE">
      <w:pPr>
        <w:rPr>
          <w:sz w:val="24"/>
          <w:szCs w:val="24"/>
        </w:rPr>
      </w:pPr>
      <w:r w:rsidRPr="00FC737B">
        <w:rPr>
          <w:sz w:val="24"/>
          <w:szCs w:val="24"/>
        </w:rPr>
        <w:t>Preceptors will be able to start earning credit for their service as a registered preceptor for an approved NHA</w:t>
      </w:r>
      <w:r w:rsidR="009D695D" w:rsidRPr="00FC737B">
        <w:rPr>
          <w:sz w:val="24"/>
          <w:szCs w:val="24"/>
        </w:rPr>
        <w:t xml:space="preserve"> AIT</w:t>
      </w:r>
      <w:r w:rsidRPr="00FC737B">
        <w:rPr>
          <w:sz w:val="24"/>
          <w:szCs w:val="24"/>
        </w:rPr>
        <w:t xml:space="preserve"> or ALF AIT beginning December 21, 2022. </w:t>
      </w:r>
    </w:p>
    <w:p w14:paraId="5E17C31D" w14:textId="77777777" w:rsidR="000C0DDE" w:rsidRPr="00FC737B" w:rsidRDefault="000C0DDE" w:rsidP="000C0DDE">
      <w:pPr>
        <w:rPr>
          <w:sz w:val="24"/>
          <w:szCs w:val="24"/>
        </w:rPr>
      </w:pPr>
    </w:p>
    <w:p w14:paraId="50A50AA6" w14:textId="77777777" w:rsidR="000C0DDE" w:rsidRPr="00FC737B" w:rsidRDefault="000C0DDE" w:rsidP="000C0DDE">
      <w:pPr>
        <w:rPr>
          <w:b/>
          <w:bCs/>
          <w:sz w:val="26"/>
          <w:szCs w:val="26"/>
        </w:rPr>
      </w:pPr>
      <w:r w:rsidRPr="00FC737B">
        <w:rPr>
          <w:b/>
          <w:bCs/>
          <w:sz w:val="26"/>
          <w:szCs w:val="26"/>
        </w:rPr>
        <w:t>Are there any changes to the number of required CE hours for renewal for 2023?</w:t>
      </w:r>
    </w:p>
    <w:p w14:paraId="66965759" w14:textId="77777777" w:rsidR="000C0DDE" w:rsidRPr="00FC737B" w:rsidRDefault="000C0DDE" w:rsidP="000C0DDE">
      <w:pPr>
        <w:rPr>
          <w:sz w:val="24"/>
          <w:szCs w:val="24"/>
        </w:rPr>
      </w:pPr>
    </w:p>
    <w:p w14:paraId="68D485AC" w14:textId="77777777" w:rsidR="000C0DDE" w:rsidRPr="00FC737B" w:rsidRDefault="000C0DDE" w:rsidP="000C0DDE">
      <w:pPr>
        <w:rPr>
          <w:sz w:val="24"/>
          <w:szCs w:val="24"/>
        </w:rPr>
      </w:pPr>
      <w:r w:rsidRPr="00FC737B">
        <w:rPr>
          <w:sz w:val="24"/>
          <w:szCs w:val="24"/>
        </w:rPr>
        <w:t xml:space="preserve">No, the total number of required CE hours for yearly license renewal has not changed.  </w:t>
      </w:r>
    </w:p>
    <w:p w14:paraId="255BDE67" w14:textId="77777777" w:rsidR="000C0DDE" w:rsidRPr="00FC737B" w:rsidRDefault="000C0DDE" w:rsidP="000C0DDE">
      <w:pPr>
        <w:rPr>
          <w:sz w:val="24"/>
          <w:szCs w:val="24"/>
        </w:rPr>
      </w:pPr>
    </w:p>
    <w:p w14:paraId="30A1D164" w14:textId="3C18FAD7" w:rsidR="000C0DDE" w:rsidRPr="00FC737B" w:rsidRDefault="000C0DDE" w:rsidP="000C0DDE">
      <w:pPr>
        <w:rPr>
          <w:sz w:val="24"/>
          <w:szCs w:val="24"/>
        </w:rPr>
      </w:pPr>
      <w:r w:rsidRPr="00FC737B">
        <w:rPr>
          <w:sz w:val="24"/>
          <w:szCs w:val="24"/>
        </w:rPr>
        <w:lastRenderedPageBreak/>
        <w:t xml:space="preserve">Of the 20 required hours, two (2) hours “shall relate to the care of residents with mental or cognitive impairments, including Alzheimer's disease and dementia.”  </w:t>
      </w:r>
    </w:p>
    <w:p w14:paraId="4AEABDEC" w14:textId="77777777" w:rsidR="000C0DDE" w:rsidRPr="00FC737B" w:rsidRDefault="000C0DDE" w:rsidP="000C0DDE">
      <w:pPr>
        <w:rPr>
          <w:sz w:val="24"/>
          <w:szCs w:val="24"/>
        </w:rPr>
      </w:pPr>
    </w:p>
    <w:p w14:paraId="2A84E359" w14:textId="61F645C9" w:rsidR="000C0DDE" w:rsidRPr="00FC737B" w:rsidRDefault="000C0DDE" w:rsidP="000C0DDE">
      <w:pPr>
        <w:rPr>
          <w:sz w:val="24"/>
          <w:szCs w:val="24"/>
        </w:rPr>
      </w:pPr>
      <w:r w:rsidRPr="00DB108B">
        <w:rPr>
          <w:sz w:val="24"/>
          <w:szCs w:val="24"/>
        </w:rPr>
        <w:t xml:space="preserve">To view the Board’s Regulations related to CE, visit </w:t>
      </w:r>
      <w:hyperlink r:id="rId8" w:history="1">
        <w:r w:rsidRPr="00DB108B">
          <w:rPr>
            <w:rStyle w:val="Hyperlink"/>
            <w:sz w:val="24"/>
            <w:szCs w:val="24"/>
          </w:rPr>
          <w:t>18VAC95-20-175</w:t>
        </w:r>
      </w:hyperlink>
      <w:r w:rsidRPr="00DB108B">
        <w:rPr>
          <w:sz w:val="24"/>
          <w:szCs w:val="24"/>
        </w:rPr>
        <w:t xml:space="preserve"> (NHA) and </w:t>
      </w:r>
      <w:hyperlink r:id="rId9" w:history="1">
        <w:r w:rsidRPr="00DB108B">
          <w:rPr>
            <w:rStyle w:val="Hyperlink"/>
            <w:sz w:val="24"/>
            <w:szCs w:val="24"/>
          </w:rPr>
          <w:t>18VAC95-30-70</w:t>
        </w:r>
      </w:hyperlink>
      <w:r w:rsidRPr="00DB108B">
        <w:rPr>
          <w:sz w:val="24"/>
          <w:szCs w:val="24"/>
        </w:rPr>
        <w:t xml:space="preserve"> (ALFA).</w:t>
      </w:r>
      <w:r w:rsidRPr="00FC737B">
        <w:rPr>
          <w:sz w:val="24"/>
          <w:szCs w:val="24"/>
        </w:rPr>
        <w:t xml:space="preserve">  </w:t>
      </w:r>
    </w:p>
    <w:p w14:paraId="4712944A" w14:textId="506FD628" w:rsidR="000C0DDE" w:rsidRPr="00FC737B" w:rsidRDefault="000C0DDE" w:rsidP="000C0DDE">
      <w:pPr>
        <w:rPr>
          <w:sz w:val="24"/>
          <w:szCs w:val="24"/>
        </w:rPr>
      </w:pPr>
    </w:p>
    <w:p w14:paraId="6D7793F8" w14:textId="71931776" w:rsidR="000C0DDE" w:rsidRPr="00FC737B" w:rsidRDefault="000C0DDE" w:rsidP="000C0DDE">
      <w:pPr>
        <w:rPr>
          <w:b/>
          <w:bCs/>
          <w:sz w:val="26"/>
          <w:szCs w:val="26"/>
        </w:rPr>
      </w:pPr>
      <w:r w:rsidRPr="00FC737B">
        <w:rPr>
          <w:b/>
          <w:bCs/>
          <w:sz w:val="26"/>
          <w:szCs w:val="26"/>
        </w:rPr>
        <w:t>How does the Board define “live” hours for purposes of CE credit?</w:t>
      </w:r>
    </w:p>
    <w:p w14:paraId="55D1841C" w14:textId="77777777" w:rsidR="000C0DDE" w:rsidRPr="00FC737B" w:rsidRDefault="000C0DDE" w:rsidP="000C0DDE">
      <w:pPr>
        <w:rPr>
          <w:sz w:val="24"/>
          <w:szCs w:val="24"/>
        </w:rPr>
      </w:pPr>
    </w:p>
    <w:p w14:paraId="23D9537D" w14:textId="2D8AB6C3" w:rsidR="000C0DDE" w:rsidRPr="00FC737B" w:rsidRDefault="000C0DDE" w:rsidP="000C0DDE">
      <w:pPr>
        <w:rPr>
          <w:sz w:val="24"/>
          <w:szCs w:val="24"/>
        </w:rPr>
      </w:pPr>
      <w:r w:rsidRPr="00FC737B">
        <w:rPr>
          <w:sz w:val="24"/>
          <w:szCs w:val="24"/>
        </w:rPr>
        <w:t xml:space="preserve">To view the Board’s </w:t>
      </w:r>
      <w:r w:rsidR="009D695D" w:rsidRPr="00FC737B">
        <w:rPr>
          <w:sz w:val="24"/>
          <w:szCs w:val="24"/>
        </w:rPr>
        <w:t>guidance</w:t>
      </w:r>
      <w:r w:rsidRPr="00FC737B">
        <w:rPr>
          <w:sz w:val="24"/>
          <w:szCs w:val="24"/>
        </w:rPr>
        <w:t xml:space="preserve"> related to “live” CE hours, visit</w:t>
      </w:r>
      <w:r w:rsidR="00DB108B">
        <w:rPr>
          <w:sz w:val="24"/>
          <w:szCs w:val="24"/>
        </w:rPr>
        <w:t xml:space="preserve"> Guidance Document 95-13, </w:t>
      </w:r>
      <w:hyperlink r:id="rId10" w:history="1">
        <w:r w:rsidR="00DB108B" w:rsidRPr="00DB108B">
          <w:rPr>
            <w:rStyle w:val="Hyperlink"/>
            <w:sz w:val="24"/>
            <w:szCs w:val="24"/>
          </w:rPr>
          <w:t>Guidance on Completion of Continuing Education</w:t>
        </w:r>
      </w:hyperlink>
      <w:r w:rsidR="00DB108B">
        <w:rPr>
          <w:sz w:val="24"/>
          <w:szCs w:val="24"/>
        </w:rPr>
        <w:t>.</w:t>
      </w:r>
    </w:p>
    <w:sectPr w:rsidR="000C0DDE" w:rsidRPr="00FC73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4E4C20"/>
    <w:multiLevelType w:val="hybridMultilevel"/>
    <w:tmpl w:val="AA6EC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2514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DDE"/>
    <w:rsid w:val="000C0DDE"/>
    <w:rsid w:val="000E24A8"/>
    <w:rsid w:val="00362616"/>
    <w:rsid w:val="009D695D"/>
    <w:rsid w:val="00A8576C"/>
    <w:rsid w:val="00CA741F"/>
    <w:rsid w:val="00DB108B"/>
    <w:rsid w:val="00FC7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FCD44"/>
  <w15:chartTrackingRefBased/>
  <w15:docId w15:val="{6186D67A-BF8E-49E8-A20D-B5014A049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DDE"/>
    <w:pPr>
      <w:ind w:left="720"/>
      <w:contextualSpacing/>
    </w:pPr>
  </w:style>
  <w:style w:type="character" w:styleId="Hyperlink">
    <w:name w:val="Hyperlink"/>
    <w:basedOn w:val="DefaultParagraphFont"/>
    <w:uiPriority w:val="99"/>
    <w:unhideWhenUsed/>
    <w:rsid w:val="00DB108B"/>
    <w:rPr>
      <w:color w:val="0563C1" w:themeColor="hyperlink"/>
      <w:u w:val="single"/>
    </w:rPr>
  </w:style>
  <w:style w:type="character" w:styleId="UnresolvedMention">
    <w:name w:val="Unresolved Mention"/>
    <w:basedOn w:val="DefaultParagraphFont"/>
    <w:uiPriority w:val="99"/>
    <w:semiHidden/>
    <w:unhideWhenUsed/>
    <w:rsid w:val="00DB10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w.lis.virginia.gov/admincode/title18/agency95/chapter20/section175/" TargetMode="External"/><Relationship Id="rId3" Type="http://schemas.openxmlformats.org/officeDocument/2006/relationships/settings" Target="settings.xml"/><Relationship Id="rId7" Type="http://schemas.openxmlformats.org/officeDocument/2006/relationships/hyperlink" Target="https://townhall.virginia.gov/L/ViewXML.cfm?textid=1721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aw.lis.virginia.gov/admincode/title18/agency95/chapter30/section70/" TargetMode="External"/><Relationship Id="rId11" Type="http://schemas.openxmlformats.org/officeDocument/2006/relationships/fontTable" Target="fontTable.xml"/><Relationship Id="rId5" Type="http://schemas.openxmlformats.org/officeDocument/2006/relationships/hyperlink" Target="https://law.lis.virginia.gov/admincode/title18/agency95/chapter20/section175/" TargetMode="External"/><Relationship Id="rId10" Type="http://schemas.openxmlformats.org/officeDocument/2006/relationships/hyperlink" Target="https://www.dhp.virginia.gov/nha/guidelines/95-13.docx" TargetMode="External"/><Relationship Id="rId4" Type="http://schemas.openxmlformats.org/officeDocument/2006/relationships/webSettings" Target="webSettings.xml"/><Relationship Id="rId9" Type="http://schemas.openxmlformats.org/officeDocument/2006/relationships/hyperlink" Target="https://law.lis.virginia.gov/admincode/title18/agency95/chapter30/section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Changes to Board Regulations for Continuing Education (CE)</dc:title>
  <dc:subject/>
  <dc:creator>Tillman Wolf, Corie (DHP)</dc:creator>
  <cp:keywords/>
  <dc:description/>
  <cp:lastModifiedBy>Gallini, Mike (DHP)</cp:lastModifiedBy>
  <cp:revision>5</cp:revision>
  <dcterms:created xsi:type="dcterms:W3CDTF">2022-11-29T19:02:00Z</dcterms:created>
  <dcterms:modified xsi:type="dcterms:W3CDTF">2023-03-10T19:28:00Z</dcterms:modified>
</cp:coreProperties>
</file>